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353F3">
      <w:pPr>
        <w:pStyle w:val="2"/>
      </w:pPr>
      <w:bookmarkStart w:id="0" w:name="_Toc92793442"/>
      <w:bookmarkStart w:id="1" w:name="_Toc99378834"/>
      <w:r>
        <w:t>TRẠI TẠM GIAM</w:t>
      </w:r>
      <w:bookmarkEnd w:id="0"/>
      <w:bookmarkEnd w:id="1"/>
    </w:p>
    <w:p w14:paraId="66457E40">
      <w:pPr>
        <w:shd w:val="clear" w:color="auto" w:fill="FFFFFF"/>
        <w:spacing w:before="120" w:after="120" w:line="400" w:lineRule="exact"/>
        <w:ind w:firstLine="709"/>
        <w:jc w:val="both"/>
        <w:rPr>
          <w:rFonts w:eastAsia="Times New Roman" w:cs="Times New Roman"/>
          <w:color w:val="000000"/>
          <w:spacing w:val="-4"/>
          <w:szCs w:val="28"/>
        </w:rPr>
      </w:pPr>
      <w:r>
        <w:rPr>
          <w:rFonts w:eastAsia="Times New Roman" w:cs="Times New Roman"/>
          <w:color w:val="000000"/>
          <w:spacing w:val="-4"/>
          <w:szCs w:val="28"/>
          <w:shd w:val="clear" w:color="auto" w:fill="FFFFFF"/>
        </w:rPr>
        <w:t>cơ quan thi hành tạm giữ, tạm giam, nơi tổ chức giam giữ, quản lý người bị tạm giữ, người bị tạm giam (</w:t>
      </w:r>
      <w:r>
        <w:rPr>
          <w:rFonts w:eastAsia="Times New Roman" w:cs="Times New Roman"/>
          <w:color w:val="000000"/>
          <w:spacing w:val="-4"/>
          <w:szCs w:val="28"/>
        </w:rPr>
        <w:t>bao gồm bị can; bị cáo; người bị kết án phạt tù, người bị kết án tử hình mà bản án chưa có hiệu lực pháp luật hoặc đang chờ thi hành án; người bị tạm giam để thực hiện việc dẫn độ), theo quy định của pháp luật.</w:t>
      </w:r>
    </w:p>
    <w:p w14:paraId="1766DABB">
      <w:pPr>
        <w:shd w:val="clear" w:color="auto" w:fill="FFFFFF"/>
        <w:spacing w:before="120" w:after="120" w:line="400" w:lineRule="exact"/>
        <w:ind w:firstLine="709"/>
        <w:jc w:val="both"/>
        <w:rPr>
          <w:rFonts w:eastAsia="Times New Roman" w:cs="Times New Roman"/>
          <w:color w:val="000000"/>
          <w:szCs w:val="28"/>
        </w:rPr>
      </w:pPr>
      <w:r>
        <w:rPr>
          <w:rFonts w:eastAsia="Times New Roman" w:cs="Times New Roman"/>
          <w:szCs w:val="28"/>
        </w:rPr>
        <w:t xml:space="preserve">Theo quy định của </w:t>
      </w:r>
      <w:r>
        <w:rPr>
          <w:rFonts w:eastAsia="Times New Roman" w:cs="Times New Roman"/>
          <w:color w:val="000000"/>
          <w:szCs w:val="28"/>
          <w:shd w:val="clear" w:color="auto" w:fill="FFFFFF"/>
        </w:rPr>
        <w:t xml:space="preserve">Luật Thi hành tạm giữ, tạm giam, có các </w:t>
      </w:r>
      <w:r>
        <w:rPr>
          <w:rFonts w:eastAsia="Times New Roman" w:cs="Times New Roman"/>
          <w:color w:val="000000"/>
          <w:szCs w:val="28"/>
          <w:shd w:val="clear" w:color="auto" w:fill="FFFFFF"/>
          <w:lang w:val="vi-VN"/>
        </w:rPr>
        <w:t>TTG</w:t>
      </w:r>
      <w:r>
        <w:rPr>
          <w:rFonts w:eastAsia="Times New Roman" w:cs="Times New Roman"/>
          <w:color w:val="000000"/>
          <w:szCs w:val="28"/>
          <w:shd w:val="clear" w:color="auto" w:fill="FFFFFF"/>
        </w:rPr>
        <w:t xml:space="preserve"> thuộc Bộ Công an; TTG thuộc Bộ Quốc phòng; TTG Công an cấp tỉnh; TTG thuộc quân khu và tương đương (TTG cấp quân khu)</w:t>
      </w:r>
      <w:r>
        <w:rPr>
          <w:rFonts w:eastAsia="Times New Roman" w:cs="Times New Roman"/>
          <w:color w:val="000000"/>
          <w:szCs w:val="28"/>
        </w:rPr>
        <w:t>. Bộ trưởng Bộ Công an/Bộ trưởng Bộ Quốc phòng quyết định thành lập, giải thể, quy mô, thiết kế TTG; ban hành nội quy của TTG trong Công an nhân dân/Quân đội nhân dân.</w:t>
      </w:r>
    </w:p>
    <w:p w14:paraId="70F72B8D">
      <w:pPr>
        <w:shd w:val="clear" w:color="auto" w:fill="FFFFFF"/>
        <w:spacing w:before="120" w:after="120" w:line="400" w:lineRule="exact"/>
        <w:ind w:firstLine="709"/>
        <w:jc w:val="both"/>
        <w:rPr>
          <w:rFonts w:eastAsia="Times New Roman" w:cs="Times New Roman"/>
          <w:color w:val="000000"/>
          <w:szCs w:val="28"/>
        </w:rPr>
      </w:pPr>
      <w:r>
        <w:rPr>
          <w:rFonts w:eastAsia="Times New Roman" w:cs="Times New Roman"/>
          <w:color w:val="000000"/>
          <w:szCs w:val="28"/>
        </w:rPr>
        <w:t xml:space="preserve">TTG có các nhiệm vụ, quyền hạn: Tiếp nhận, lập hồ sơ, lập danh bản, chỉ bản của người bị tạm giữ, người bị tạm giam theo lệnh, quyết định của người có thẩm quyền được quy định trong Bộ luật </w:t>
      </w:r>
      <w:r>
        <w:rPr>
          <w:rFonts w:eastAsia="Times New Roman" w:cs="Times New Roman"/>
          <w:color w:val="000000"/>
          <w:szCs w:val="28"/>
          <w:lang w:val="vi-VN"/>
        </w:rPr>
        <w:t>T</w:t>
      </w:r>
      <w:r>
        <w:rPr>
          <w:rFonts w:eastAsia="Times New Roman" w:cs="Times New Roman"/>
          <w:color w:val="000000"/>
          <w:szCs w:val="28"/>
        </w:rPr>
        <w:t>ố tụng hình sự hoặc người có quyết định điều chuyển theo quy định của Luật Thi hành tạm giữ, tạm giam; Thực hiện các biện pháp quản lý giam giữ người bị tạm giữ, người bị tạm giam; Áp dụng các biện pháp bảo vệ an toàn tính mạng, thân thể, tài sản, tôn trọng danh dự, nhân phẩm của người bị tạm giữ, người bị tạm giam; Bảo đảm cho người bị tạm giữ, người bị tạm giam thực hiện quyền, nghĩa vụ của mình theo quy định của Luật Thi hành tạm giữ, tạm giam và pháp luật có liên quan; giải quyết kiến nghị theo thẩm quyền hoặc chuyển kháng cáo, khiếu nại, tố cáo, yêu cầu, kiến nghị, đề nghị của người bị tạm giữ, người bị tạm giam đến cơ quan có thẩm quyền giải quyết; Giao người bị tạm giữ, người bị tạm giam theo lệnh trích xuất, quyết định điều chuyển của người có thẩm quyền; Báo cáo cơ quan có thẩm quyền khi có căn cứ cho rằng lệnh, quyết định tạm giữ, tạm giam, trả tự do là trái pháp luật; Phối hợp với các cơ quan, tổ chức, cá nhân có liên quan trong điều tra, truy tố, xét xử, thi hành án; Thông báo bằng văn bản cho cơ quan đang thụ lý vụ án 01 ngày trước khi hết thời hạn tạm giữ, gia hạn tạm giữ, 05 ngày trước khi hết thời hạn tạm giam, 10 ngày trước khi hết thời hạn gia hạn tạm giam và yêu cầu cơ quan đang thụ lý vụ án giải quyết theo pháp luật; trường hợp hết thời hạn tạm giữ, thời hạn tạm giam, cơ quan đang thụ lý vụ án không giải quyết thì kiến nghị ngay Viện kiểm sát nhân dân có thẩm quyền kiểm sát quản lý, thi hành tạm giữ, tạm giam xử lý; Trả tự do cho người bị tạm giữ, người bị tạm giam theo quyết định của cơ quan, người có thẩm quyền; Thực hiện thống kê, báo cáo về thi hành tạm giữ, tạm giam. Ngoài nhiệm vụ, quyền hạn được quy định như trên, TTG còn có nhiệm vụ, quyền hạn tiếp nhận, quản lý giam giữ, giáo dục cải tạo phạm nhân và thực hiện các nhiệm vụ, quyền hạn khác theo quy định của pháp luật về thi hành án hình sự.</w:t>
      </w:r>
    </w:p>
    <w:p w14:paraId="7044DC63">
      <w:pPr>
        <w:shd w:val="clear" w:color="auto" w:fill="FFFFFF"/>
        <w:spacing w:before="120" w:after="120" w:line="400" w:lineRule="exact"/>
        <w:ind w:firstLine="709"/>
        <w:jc w:val="both"/>
        <w:rPr>
          <w:rFonts w:eastAsia="Times New Roman" w:cs="Times New Roman"/>
          <w:color w:val="000000"/>
          <w:szCs w:val="28"/>
        </w:rPr>
      </w:pPr>
      <w:r>
        <w:rPr>
          <w:rFonts w:eastAsia="Times New Roman" w:cs="Times New Roman"/>
          <w:color w:val="000000"/>
          <w:szCs w:val="28"/>
        </w:rPr>
        <w:t>TTG có phân TTG, khu giam giữ, buồng tạm giam, buồng tạm giữ, buồng giam người đang chờ chấp hành án phạt tù, buồng giam người bị kết án tử hình, buồng kỷ luật, phân trại quản lý phạm nhân; các công trình phục vụ việc quản lý giam giữ, hoạt động tố tụng, thi hành án, sinh hoạt, chăm sóc y tế, giáo dục người bị tạm giữ, người bị tạm giam, thi hành án phạt tù; các công trình làm việc, sinh hoạt của sĩ quan, quân nhân chuyên nghiệp, hạ sĩ quan, chiến sĩ, công nhân, viên chức công tác tại TTG.</w:t>
      </w:r>
    </w:p>
    <w:p w14:paraId="38F690CB">
      <w:pPr>
        <w:shd w:val="clear" w:color="auto" w:fill="FFFFFF"/>
        <w:spacing w:before="120" w:after="120" w:line="400" w:lineRule="exact"/>
        <w:ind w:firstLine="709"/>
        <w:jc w:val="both"/>
        <w:rPr>
          <w:rFonts w:eastAsia="Times New Roman" w:cs="Times New Roman"/>
          <w:color w:val="000000"/>
          <w:szCs w:val="28"/>
        </w:rPr>
      </w:pPr>
      <w:r>
        <w:rPr>
          <w:rFonts w:eastAsia="Times New Roman" w:cs="Times New Roman"/>
          <w:color w:val="000000"/>
          <w:szCs w:val="28"/>
        </w:rPr>
        <w:t>Tổ chức bộ máy của TTG trong Công an nhân dân gồm có Giám thị, Phó Giám thị, Trưởng phân trại, Phó Trưởng phân trại, Đội trưởng, Phó Đội trưởng, trưởng cơ sở y tế; sĩ quan, hạ sĩ quan, chiến sĩ, công nhân, viên chức và được tổ chức thành các đội, phân TTG, phân trại quản lý phạm nhân để làm nhiệm vụ quản giáo, trinh sát, bảo vệ, hỗ trợ tư pháp, thi hành án hình sự, tham mưu tổng hợp, hậu cần, kỹ thuật, giáo dục, y tế, hồ sơ.</w:t>
      </w:r>
    </w:p>
    <w:p w14:paraId="013DA255">
      <w:pPr>
        <w:shd w:val="clear" w:color="auto" w:fill="FFFFFF"/>
        <w:spacing w:before="120" w:after="120" w:line="400" w:lineRule="exact"/>
        <w:ind w:firstLine="709"/>
        <w:jc w:val="both"/>
        <w:rPr>
          <w:rFonts w:eastAsia="Times New Roman" w:cs="Times New Roman"/>
          <w:color w:val="000000"/>
          <w:szCs w:val="28"/>
        </w:rPr>
      </w:pPr>
      <w:r>
        <w:rPr>
          <w:rFonts w:eastAsia="Times New Roman" w:cs="Times New Roman"/>
          <w:color w:val="000000"/>
          <w:szCs w:val="28"/>
        </w:rPr>
        <w:t>Tổ chức bộ máy của TTG trong Quân đội nhân dân gồm có Giám thị, Phó Giám thị, Chính trị viên, Trưởng phân trại, Phó Trưởng phân trại, Đội trưởng, Phó Đội trưởng, trưởng cơ sở y tế; sĩ quan, quân nhân chuyên nghiệp, hạ sĩ quan, binh sĩ, công nhân, viên chức quốc phòng có thể được tổ chức thành các đội để làm nhiệm vụ quản giáo, trinh sát, bảo vệ, hỗ trợ tư pháp, thi hành án hình sự, tham mưu tổng hợp, hậu cần, kỹ thuật, giáo dục, y tế, hồ sơ;</w:t>
      </w:r>
    </w:p>
    <w:p w14:paraId="23208B57">
      <w:pPr>
        <w:shd w:val="clear" w:color="auto" w:fill="FFFFFF"/>
        <w:spacing w:before="120" w:after="120" w:line="400" w:lineRule="exact"/>
        <w:ind w:firstLine="709"/>
        <w:jc w:val="both"/>
        <w:rPr>
          <w:rFonts w:eastAsia="Times New Roman" w:cs="Times New Roman"/>
          <w:color w:val="000000"/>
          <w:szCs w:val="28"/>
        </w:rPr>
      </w:pPr>
      <w:r>
        <w:rPr>
          <w:rFonts w:eastAsia="Times New Roman" w:cs="Times New Roman"/>
          <w:color w:val="000000"/>
          <w:szCs w:val="28"/>
        </w:rPr>
        <w:t>Giám thị, Phó Giám thị, Trưởng phân trại, Phó Trưởng phân trại, Đội trưởng, Phó Đội trưởng của TTG, Phân TTG, phải là người có trình độ đại học cảnh sát, đại học an ninh hoặc cử nhân luật trở lên và bảo đảm các tiêu chuẩn khác do Chính phủ quy định.</w:t>
      </w:r>
    </w:p>
    <w:p w14:paraId="1202ADF0">
      <w:pPr>
        <w:shd w:val="clear" w:color="auto" w:fill="FFFFFF"/>
        <w:spacing w:before="120" w:after="120" w:line="400" w:lineRule="exact"/>
        <w:ind w:firstLine="709"/>
        <w:jc w:val="both"/>
        <w:rPr>
          <w:rFonts w:eastAsia="Times New Roman" w:cs="Times New Roman"/>
          <w:color w:val="000000"/>
          <w:szCs w:val="28"/>
        </w:rPr>
      </w:pPr>
      <w:r>
        <w:rPr>
          <w:rFonts w:eastAsia="Times New Roman" w:cs="Times New Roman"/>
          <w:color w:val="000000"/>
          <w:szCs w:val="28"/>
        </w:rPr>
        <w:t>Trong TTG có buồng tạm giữ, buồng tạm giam, được thiết kế, xây dựng kiên cố, có khoá cửa, có phương tiện kiểm soát an ninh, đủ ánh sáng, bảo đảm sức khoẻ của người bị tạm giữ, người bị tạm giam, vệ sinh môi trường, an toàn phòng cháy, chữa cháy, phù hợp với đặc điểm khí hậu của từng địa phương và yêu cầu công tác quản lý giam giữ.</w:t>
      </w:r>
    </w:p>
    <w:p w14:paraId="06252DE8">
      <w:pPr>
        <w:shd w:val="clear" w:color="auto" w:fill="FFFFFF"/>
        <w:spacing w:before="120" w:after="120" w:line="400" w:lineRule="exact"/>
        <w:ind w:firstLine="709"/>
        <w:jc w:val="both"/>
        <w:rPr>
          <w:rFonts w:eastAsia="Times New Roman" w:cs="Times New Roman"/>
          <w:color w:val="000000"/>
          <w:szCs w:val="28"/>
        </w:rPr>
      </w:pPr>
      <w:r>
        <w:rPr>
          <w:rFonts w:eastAsia="Times New Roman" w:cs="Times New Roman"/>
          <w:color w:val="000000"/>
          <w:szCs w:val="28"/>
        </w:rPr>
        <w:t>Phòng làm việc của cơ quan, người tiến hành tố tụng, người bào chữa trong TTG được thiết kế, xây dựng bảo đảm an toàn, đáp ứng yêu cầu điều tra, xử lý vụ án và bào chữa.</w:t>
      </w:r>
    </w:p>
    <w:p w14:paraId="5BEAA182">
      <w:pPr>
        <w:shd w:val="clear" w:color="auto" w:fill="FFFFFF"/>
        <w:spacing w:before="120" w:after="120" w:line="400" w:lineRule="exact"/>
        <w:ind w:firstLine="709"/>
        <w:jc w:val="both"/>
        <w:rPr>
          <w:rFonts w:eastAsia="Times New Roman" w:cs="Times New Roman"/>
          <w:color w:val="000000"/>
          <w:szCs w:val="28"/>
        </w:rPr>
      </w:pPr>
      <w:r>
        <w:rPr>
          <w:rFonts w:eastAsia="Times New Roman" w:cs="Times New Roman"/>
          <w:color w:val="000000"/>
          <w:szCs w:val="28"/>
        </w:rPr>
        <w:t>TTG được canh gác, bảo vệ, quản lý, kiểm tra, giám sát 24/24 giờ trong ngày.</w:t>
      </w:r>
      <w:r>
        <w:rPr>
          <w:rFonts w:ascii="Arial" w:hAnsi="Arial" w:eastAsia="Calibri" w:cs="Arial"/>
          <w:color w:val="000000"/>
          <w:sz w:val="18"/>
          <w:szCs w:val="18"/>
          <w:shd w:val="clear" w:color="auto" w:fill="FFFFFF"/>
        </w:rPr>
        <w:t xml:space="preserve"> </w:t>
      </w:r>
      <w:r>
        <w:rPr>
          <w:rFonts w:eastAsia="Times New Roman" w:cs="Times New Roman"/>
          <w:color w:val="000000"/>
          <w:szCs w:val="28"/>
        </w:rPr>
        <w:t>Người bị tạm giữ phải ở trong buồng tạm giữ; người bị tạm giam phải ở trong buồng tạm giam. Khi có lệnh của Giám thị TTG thì mới được ra khỏi buồng tạm giữ, buồng tạm giam để thực hiện lệnh trích xuất và các hoạt động khác theo quy định của Luật Thi hành tạm giữ, tạm giam và nội quy của TTG.</w:t>
      </w:r>
    </w:p>
    <w:p w14:paraId="1CE8FA31">
      <w:pPr>
        <w:shd w:val="clear" w:color="auto" w:fill="FFFFFF"/>
        <w:spacing w:before="120" w:after="120" w:line="400" w:lineRule="exact"/>
        <w:ind w:firstLine="709"/>
        <w:jc w:val="both"/>
        <w:rPr>
          <w:rFonts w:eastAsia="Times New Roman" w:cs="Times New Roman"/>
          <w:b/>
          <w:bCs/>
          <w:i/>
          <w:iCs/>
          <w:color w:val="000000"/>
          <w:spacing w:val="-6"/>
          <w:szCs w:val="28"/>
        </w:rPr>
      </w:pPr>
      <w:r>
        <w:rPr>
          <w:rFonts w:eastAsia="Times New Roman" w:cs="Times New Roman"/>
          <w:color w:val="000000"/>
          <w:spacing w:val="-6"/>
          <w:szCs w:val="28"/>
        </w:rPr>
        <w:t xml:space="preserve">TTG bảo đảm thực hiện các chế độ quản lý giam giữ người bị tạm giữ, người bị tạm giam và chế độ ăn, ở, mặc, tư trang, chăm sóc y tế, sinh hoạt tinh thần, gửi, nhận thư, nhận quà, nhận sách, báo và tài liệu, gặp thân nhân, người bào chữa, tiếp xúc lãnh sự của người bị tạm giữ, người bị tạm giam, theo quy định của Luật thi hành tạm giữ, tạm giam. </w:t>
      </w:r>
      <w:r>
        <w:rPr>
          <w:rFonts w:eastAsia="Times New Roman" w:cs="Times New Roman"/>
          <w:i/>
          <w:color w:val="000000"/>
          <w:spacing w:val="-6"/>
          <w:szCs w:val="28"/>
        </w:rPr>
        <w:t>Xt. Chế độ tạm giữ, tạm giam, Cơ sở giam giữ</w:t>
      </w:r>
    </w:p>
    <w:p w14:paraId="1AEBD5C8">
      <w:pPr>
        <w:spacing w:before="120" w:after="120" w:line="400" w:lineRule="exact"/>
        <w:ind w:firstLine="709"/>
        <w:jc w:val="right"/>
        <w:rPr>
          <w:rFonts w:eastAsia="Times New Roman" w:cs="Times New Roman"/>
          <w:b/>
          <w:bCs/>
          <w:iCs/>
          <w:color w:val="000000"/>
          <w:sz w:val="24"/>
          <w:szCs w:val="28"/>
        </w:rPr>
      </w:pPr>
      <w:r>
        <w:rPr>
          <w:rFonts w:eastAsia="Times New Roman" w:cs="Times New Roman"/>
          <w:b/>
          <w:bCs/>
          <w:iCs/>
          <w:color w:val="000000"/>
          <w:sz w:val="24"/>
          <w:szCs w:val="28"/>
        </w:rPr>
        <w:t>TỪ KIM NGÂN</w:t>
      </w:r>
    </w:p>
    <w:p w14:paraId="487E1680">
      <w:pPr>
        <w:pStyle w:val="3"/>
      </w:pPr>
      <w:bookmarkStart w:id="2" w:name="_Toc92793443"/>
      <w:r>
        <w:t>Tài liệu tham khảo</w:t>
      </w:r>
      <w:bookmarkEnd w:id="2"/>
    </w:p>
    <w:p w14:paraId="04447B91">
      <w:pPr>
        <w:numPr>
          <w:ilvl w:val="0"/>
          <w:numId w:val="1"/>
        </w:numPr>
        <w:tabs>
          <w:tab w:val="left" w:pos="1170"/>
        </w:tabs>
        <w:spacing w:before="120" w:after="120" w:line="400" w:lineRule="exact"/>
        <w:ind w:left="0" w:firstLine="907"/>
        <w:jc w:val="both"/>
        <w:rPr>
          <w:rFonts w:eastAsia="Times New Roman" w:cs="Times New Roman"/>
          <w:sz w:val="24"/>
          <w:szCs w:val="24"/>
        </w:rPr>
      </w:pPr>
      <w:r>
        <w:rPr>
          <w:rFonts w:eastAsia="Times New Roman" w:cs="Times New Roman"/>
          <w:sz w:val="24"/>
          <w:szCs w:val="24"/>
        </w:rPr>
        <w:t>Bộ Công an,</w:t>
      </w:r>
      <w:r>
        <w:rPr>
          <w:rFonts w:ascii="Calibri" w:hAnsi="Calibri" w:eastAsia="Calibri" w:cs="Times New Roman"/>
          <w:sz w:val="24"/>
          <w:szCs w:val="24"/>
        </w:rPr>
        <w:t xml:space="preserve"> </w:t>
      </w:r>
      <w:r>
        <w:rPr>
          <w:rFonts w:eastAsia="Times New Roman" w:cs="Times New Roman"/>
          <w:i/>
          <w:sz w:val="24"/>
          <w:szCs w:val="24"/>
        </w:rPr>
        <w:t>Thông tư 36/2017/TT-BCA ngày 19.9.2017 ban hành nội quy cơ sở giam giữ.</w:t>
      </w:r>
    </w:p>
    <w:p w14:paraId="5F4452B7">
      <w:pPr>
        <w:numPr>
          <w:ilvl w:val="0"/>
          <w:numId w:val="1"/>
        </w:numPr>
        <w:tabs>
          <w:tab w:val="left" w:pos="1170"/>
        </w:tabs>
        <w:spacing w:before="120" w:after="120" w:line="400" w:lineRule="exact"/>
        <w:ind w:left="0" w:firstLine="907"/>
        <w:jc w:val="both"/>
        <w:rPr>
          <w:rFonts w:eastAsia="Times New Roman" w:cs="Times New Roman"/>
          <w:sz w:val="24"/>
          <w:szCs w:val="24"/>
        </w:rPr>
      </w:pPr>
      <w:r>
        <w:rPr>
          <w:rFonts w:eastAsia="Times New Roman" w:cs="Times New Roman"/>
          <w:sz w:val="24"/>
          <w:szCs w:val="24"/>
        </w:rPr>
        <w:t xml:space="preserve">Bộ Công an, </w:t>
      </w:r>
      <w:r>
        <w:rPr>
          <w:rFonts w:eastAsia="Times New Roman" w:cs="Times New Roman"/>
          <w:i/>
          <w:sz w:val="24"/>
          <w:szCs w:val="24"/>
        </w:rPr>
        <w:t>Thông tư số 81/2019/TT-BCA ngày 27.12.2019 quy định về thực hiện dân chủ trong thi hành tạm giữ, tạm giam của lực lượng Công an nhân dân.</w:t>
      </w:r>
    </w:p>
    <w:p w14:paraId="2869FACF">
      <w:pPr>
        <w:numPr>
          <w:ilvl w:val="0"/>
          <w:numId w:val="1"/>
        </w:numPr>
        <w:tabs>
          <w:tab w:val="left" w:pos="1170"/>
        </w:tabs>
        <w:spacing w:before="120" w:after="120" w:line="400" w:lineRule="exact"/>
        <w:ind w:left="0" w:firstLine="907"/>
        <w:jc w:val="both"/>
        <w:rPr>
          <w:rFonts w:eastAsia="Calibri" w:cs="Times New Roman"/>
          <w:color w:val="000000"/>
          <w:sz w:val="24"/>
          <w:szCs w:val="24"/>
          <w:shd w:val="clear" w:color="auto" w:fill="FFFFFF"/>
        </w:rPr>
      </w:pPr>
      <w:r>
        <w:rPr>
          <w:rFonts w:eastAsia="Times New Roman" w:cs="Times New Roman"/>
          <w:sz w:val="24"/>
          <w:szCs w:val="24"/>
        </w:rPr>
        <w:t xml:space="preserve">Chính phủ, </w:t>
      </w:r>
      <w:r>
        <w:rPr>
          <w:rFonts w:eastAsia="Times New Roman" w:cs="Times New Roman"/>
          <w:i/>
          <w:sz w:val="24"/>
          <w:szCs w:val="24"/>
        </w:rPr>
        <w:t>Nghị định s</w:t>
      </w:r>
      <w:r>
        <w:rPr>
          <w:rFonts w:eastAsia="Calibri" w:cs="Times New Roman"/>
          <w:i/>
          <w:color w:val="000000"/>
          <w:sz w:val="24"/>
          <w:szCs w:val="24"/>
          <w:shd w:val="clear" w:color="auto" w:fill="FFFFFF"/>
        </w:rPr>
        <w:t>ố 120/2017/NĐ-CP ngày 6.11.2017 quy định chi tiết một số điều của Luật Thi hành tạm giữ, tạm giam.</w:t>
      </w:r>
    </w:p>
    <w:p w14:paraId="4E38C083">
      <w:pPr>
        <w:numPr>
          <w:ilvl w:val="0"/>
          <w:numId w:val="1"/>
        </w:numPr>
        <w:tabs>
          <w:tab w:val="left" w:pos="1170"/>
        </w:tabs>
        <w:spacing w:before="120" w:after="120" w:line="400" w:lineRule="exact"/>
        <w:ind w:left="0" w:firstLine="907"/>
        <w:jc w:val="both"/>
        <w:rPr>
          <w:rFonts w:eastAsia="Times New Roman" w:cs="Times New Roman"/>
          <w:i/>
          <w:sz w:val="24"/>
          <w:szCs w:val="24"/>
        </w:rPr>
      </w:pPr>
      <w:r>
        <w:rPr>
          <w:rFonts w:eastAsia="Times New Roman" w:cs="Times New Roman"/>
          <w:sz w:val="24"/>
          <w:szCs w:val="24"/>
        </w:rPr>
        <w:t xml:space="preserve">Quốc hội, </w:t>
      </w:r>
      <w:r>
        <w:rPr>
          <w:rFonts w:eastAsia="Calibri" w:cs="Times New Roman"/>
          <w:i/>
          <w:iCs/>
          <w:color w:val="000000"/>
          <w:sz w:val="24"/>
          <w:szCs w:val="24"/>
          <w:shd w:val="clear" w:color="auto" w:fill="FFFFFF"/>
        </w:rPr>
        <w:t>Luật Thi hành tạm giữ, tạm giam</w:t>
      </w:r>
      <w:r>
        <w:rPr>
          <w:rFonts w:eastAsia="Times New Roman" w:cs="Times New Roman"/>
          <w:i/>
          <w:sz w:val="24"/>
          <w:szCs w:val="24"/>
        </w:rPr>
        <w:t xml:space="preserve"> số </w:t>
      </w:r>
      <w:r>
        <w:rPr>
          <w:rFonts w:eastAsia="Calibri" w:cs="Times New Roman"/>
          <w:i/>
          <w:color w:val="000000"/>
          <w:sz w:val="24"/>
          <w:szCs w:val="24"/>
          <w:shd w:val="clear" w:color="auto" w:fill="FFFFFF"/>
        </w:rPr>
        <w:t>94/2015/QH13</w:t>
      </w:r>
      <w:r>
        <w:rPr>
          <w:rFonts w:eastAsia="Times New Roman" w:cs="Times New Roman"/>
          <w:i/>
          <w:sz w:val="24"/>
          <w:szCs w:val="24"/>
        </w:rPr>
        <w:t xml:space="preserve"> ngày 25.11.2015.</w:t>
      </w:r>
    </w:p>
    <w:p w14:paraId="3D0A52B7">
      <w:bookmarkStart w:id="3" w:name="_GoBack"/>
      <w:bookmarkEnd w:id="3"/>
    </w:p>
    <w:sectPr>
      <w:pgSz w:w="11909" w:h="16834"/>
      <w:pgMar w:top="1134" w:right="1134"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86"/>
    <w:family w:val="swiss"/>
    <w:pitch w:val="default"/>
    <w:sig w:usb0="E4002EFF" w:usb1="C000247B" w:usb2="00000009" w:usb3="00000000" w:csb0="200001FF" w:csb1="00000000"/>
  </w:font>
  <w:font w:name="Times New Roman Bold">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D61B76"/>
    <w:multiLevelType w:val="multilevel"/>
    <w:tmpl w:val="73D61B76"/>
    <w:lvl w:ilvl="0" w:tentative="0">
      <w:start w:val="1"/>
      <w:numFmt w:val="decimal"/>
      <w:lvlText w:val="%1."/>
      <w:lvlJc w:val="left"/>
      <w:pPr>
        <w:ind w:left="1429" w:hanging="360"/>
      </w:pPr>
      <w:rPr>
        <w:i w:val="0"/>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00"/>
  <w:drawingGridVerticalSpacing w:val="381"/>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71"/>
    <w:rsid w:val="00042ED5"/>
    <w:rsid w:val="00042F5E"/>
    <w:rsid w:val="000551A7"/>
    <w:rsid w:val="00115BDB"/>
    <w:rsid w:val="00137509"/>
    <w:rsid w:val="001C160D"/>
    <w:rsid w:val="001D1C53"/>
    <w:rsid w:val="00207A45"/>
    <w:rsid w:val="002166F8"/>
    <w:rsid w:val="00254911"/>
    <w:rsid w:val="002721BB"/>
    <w:rsid w:val="0029347D"/>
    <w:rsid w:val="002A5436"/>
    <w:rsid w:val="002B1994"/>
    <w:rsid w:val="002C35EB"/>
    <w:rsid w:val="002D47B5"/>
    <w:rsid w:val="00334805"/>
    <w:rsid w:val="0034637F"/>
    <w:rsid w:val="003501C5"/>
    <w:rsid w:val="00382B34"/>
    <w:rsid w:val="00391A96"/>
    <w:rsid w:val="003A39B8"/>
    <w:rsid w:val="003E063E"/>
    <w:rsid w:val="003F151E"/>
    <w:rsid w:val="00423E9D"/>
    <w:rsid w:val="00426F0B"/>
    <w:rsid w:val="00430C7D"/>
    <w:rsid w:val="0043145D"/>
    <w:rsid w:val="00467F1F"/>
    <w:rsid w:val="00473016"/>
    <w:rsid w:val="004762A5"/>
    <w:rsid w:val="004924BC"/>
    <w:rsid w:val="004B62E9"/>
    <w:rsid w:val="004B7822"/>
    <w:rsid w:val="004C4217"/>
    <w:rsid w:val="004E7AE8"/>
    <w:rsid w:val="004F0401"/>
    <w:rsid w:val="004F3443"/>
    <w:rsid w:val="005044EC"/>
    <w:rsid w:val="00523ADB"/>
    <w:rsid w:val="0053703D"/>
    <w:rsid w:val="005446D6"/>
    <w:rsid w:val="00563EA1"/>
    <w:rsid w:val="0057173E"/>
    <w:rsid w:val="005745C4"/>
    <w:rsid w:val="005B1CE5"/>
    <w:rsid w:val="005E6580"/>
    <w:rsid w:val="00621ADF"/>
    <w:rsid w:val="00636F62"/>
    <w:rsid w:val="00654A89"/>
    <w:rsid w:val="00654BFD"/>
    <w:rsid w:val="00685930"/>
    <w:rsid w:val="00687187"/>
    <w:rsid w:val="006A4839"/>
    <w:rsid w:val="006E4187"/>
    <w:rsid w:val="006F539F"/>
    <w:rsid w:val="006F7478"/>
    <w:rsid w:val="006F79A9"/>
    <w:rsid w:val="0070170A"/>
    <w:rsid w:val="00703147"/>
    <w:rsid w:val="007121D4"/>
    <w:rsid w:val="00716578"/>
    <w:rsid w:val="007247B2"/>
    <w:rsid w:val="0073226F"/>
    <w:rsid w:val="0074561D"/>
    <w:rsid w:val="007715D7"/>
    <w:rsid w:val="007818CD"/>
    <w:rsid w:val="00796E66"/>
    <w:rsid w:val="007979B2"/>
    <w:rsid w:val="00797A21"/>
    <w:rsid w:val="007C1023"/>
    <w:rsid w:val="007C2DC5"/>
    <w:rsid w:val="007D1A89"/>
    <w:rsid w:val="007D50D2"/>
    <w:rsid w:val="007E581D"/>
    <w:rsid w:val="007F4B57"/>
    <w:rsid w:val="00805569"/>
    <w:rsid w:val="00807B7E"/>
    <w:rsid w:val="0082170E"/>
    <w:rsid w:val="008A4C72"/>
    <w:rsid w:val="008E7932"/>
    <w:rsid w:val="008F583C"/>
    <w:rsid w:val="00922744"/>
    <w:rsid w:val="00937B64"/>
    <w:rsid w:val="009456B0"/>
    <w:rsid w:val="00952B83"/>
    <w:rsid w:val="009572AA"/>
    <w:rsid w:val="00963A53"/>
    <w:rsid w:val="009830B5"/>
    <w:rsid w:val="009A649C"/>
    <w:rsid w:val="009E035D"/>
    <w:rsid w:val="00A33688"/>
    <w:rsid w:val="00A50D73"/>
    <w:rsid w:val="00A52C33"/>
    <w:rsid w:val="00A56C2E"/>
    <w:rsid w:val="00A722FF"/>
    <w:rsid w:val="00A85B78"/>
    <w:rsid w:val="00AA2E16"/>
    <w:rsid w:val="00AC5191"/>
    <w:rsid w:val="00AE3BB9"/>
    <w:rsid w:val="00AE59E5"/>
    <w:rsid w:val="00AF7A16"/>
    <w:rsid w:val="00B030F1"/>
    <w:rsid w:val="00B03D84"/>
    <w:rsid w:val="00B21F93"/>
    <w:rsid w:val="00B25B4D"/>
    <w:rsid w:val="00B372F4"/>
    <w:rsid w:val="00B413F3"/>
    <w:rsid w:val="00B612D0"/>
    <w:rsid w:val="00B63016"/>
    <w:rsid w:val="00B7064F"/>
    <w:rsid w:val="00B91E7C"/>
    <w:rsid w:val="00B965E4"/>
    <w:rsid w:val="00C21694"/>
    <w:rsid w:val="00C21AB5"/>
    <w:rsid w:val="00C2467E"/>
    <w:rsid w:val="00C261AE"/>
    <w:rsid w:val="00C416EA"/>
    <w:rsid w:val="00C53CF2"/>
    <w:rsid w:val="00C7340C"/>
    <w:rsid w:val="00C73BEA"/>
    <w:rsid w:val="00CE57D4"/>
    <w:rsid w:val="00CF65F1"/>
    <w:rsid w:val="00D16868"/>
    <w:rsid w:val="00D2303F"/>
    <w:rsid w:val="00D45A55"/>
    <w:rsid w:val="00D503E0"/>
    <w:rsid w:val="00D658D8"/>
    <w:rsid w:val="00D72111"/>
    <w:rsid w:val="00D83DC4"/>
    <w:rsid w:val="00D955C4"/>
    <w:rsid w:val="00DA52C9"/>
    <w:rsid w:val="00DB3CF1"/>
    <w:rsid w:val="00DB56B5"/>
    <w:rsid w:val="00DE054D"/>
    <w:rsid w:val="00DE4FEA"/>
    <w:rsid w:val="00E02671"/>
    <w:rsid w:val="00E03462"/>
    <w:rsid w:val="00E078B8"/>
    <w:rsid w:val="00E234B9"/>
    <w:rsid w:val="00E5357F"/>
    <w:rsid w:val="00E665E3"/>
    <w:rsid w:val="00E67A19"/>
    <w:rsid w:val="00E8160A"/>
    <w:rsid w:val="00E83220"/>
    <w:rsid w:val="00E85B6A"/>
    <w:rsid w:val="00ED5C4D"/>
    <w:rsid w:val="00EE4380"/>
    <w:rsid w:val="00F004C4"/>
    <w:rsid w:val="00F13A38"/>
    <w:rsid w:val="00F7503D"/>
    <w:rsid w:val="00FB272C"/>
    <w:rsid w:val="00FB4403"/>
    <w:rsid w:val="00FB6166"/>
    <w:rsid w:val="00FC6956"/>
    <w:rsid w:val="00FF2DF1"/>
    <w:rsid w:val="02B8562E"/>
    <w:rsid w:val="0F96572F"/>
    <w:rsid w:val="16F60ABB"/>
    <w:rsid w:val="2CBB1DA5"/>
    <w:rsid w:val="46BF5B9A"/>
    <w:rsid w:val="55033145"/>
    <w:rsid w:val="576003C8"/>
    <w:rsid w:val="60533013"/>
    <w:rsid w:val="6087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9"/>
    <w:pPr>
      <w:keepNext/>
      <w:keepLines/>
      <w:tabs>
        <w:tab w:val="left" w:pos="1260"/>
        <w:tab w:val="left" w:pos="4320"/>
      </w:tabs>
      <w:spacing w:before="600" w:after="120" w:line="400" w:lineRule="exact"/>
      <w:ind w:firstLine="709"/>
      <w:outlineLvl w:val="0"/>
    </w:pPr>
    <w:rPr>
      <w:rFonts w:eastAsia="Times New Roman" w:cstheme="majorBidi"/>
      <w:b/>
      <w:bCs/>
      <w:sz w:val="24"/>
      <w:szCs w:val="28"/>
    </w:rPr>
  </w:style>
  <w:style w:type="paragraph" w:styleId="3">
    <w:name w:val="heading 2"/>
    <w:basedOn w:val="1"/>
    <w:next w:val="1"/>
    <w:unhideWhenUsed/>
    <w:qFormat/>
    <w:uiPriority w:val="9"/>
    <w:pPr>
      <w:keepNext/>
      <w:keepLines/>
      <w:spacing w:before="120" w:after="120" w:line="400" w:lineRule="exact"/>
      <w:ind w:firstLine="720"/>
      <w:jc w:val="both"/>
      <w:outlineLvl w:val="1"/>
    </w:pPr>
    <w:rPr>
      <w:rFonts w:ascii="Times New Roman Bold" w:hAnsi="Times New Roman Bold" w:eastAsia="Calibri" w:cstheme="majorBidi"/>
      <w:bCs/>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table" w:styleId="6">
    <w:name w:val="Table Grid"/>
    <w:basedOn w:val="5"/>
    <w:qFormat/>
    <w:uiPriority w:val="59"/>
    <w:pPr>
      <w:spacing w:after="0" w:line="240" w:lineRule="auto"/>
    </w:pPr>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paragraph" w:customStyle="1" w:styleId="8">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Phienbanmoi.com</Company>
  <Pages>3</Pages>
  <Words>1281</Words>
  <Characters>4592</Characters>
  <Lines>11</Lines>
  <Paragraphs>3</Paragraphs>
  <TotalTime>0</TotalTime>
  <ScaleCrop>false</ScaleCrop>
  <LinksUpToDate>false</LinksUpToDate>
  <CharactersWithSpaces>5859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2022-04-28T08:36:00Z</dcterms:created>
  <dc:creator>Windows User</dc:creator>
  <cp:lastModifiedBy>AD</cp:lastModifiedBy>
  <cp:lastPrinted>2026-05-26T08:00:00Z</cp:lastPrinted>
  <dcterms:modified xsi:type="dcterms:W3CDTF">2026-07-06T04:31:36Z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A1FBE5C48EF94B51A357ED09779C98BD_12</vt:lpwstr>
  </property>
</Properties>
</file>